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222222"/>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222222"/>
          <w:sz w:val="22"/>
          <w:szCs w:val="22"/>
          <w:highlight w:val="white"/>
          <w:u w:val="none"/>
          <w:vertAlign w:val="baseline"/>
          <w:rtl w:val="0"/>
        </w:rPr>
        <w:t xml:space="preserve">Nota:  La mesa de ayuda Sispro no ha realizado el respectivo reporte de horas para este mes. Se deja constancia de la asignación de cumplimiento de horas de acuerdo al macro asignado por la coordinación académica.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color w:val="222222"/>
          <w:highlight w:val="white"/>
        </w:rPr>
      </w:pPr>
      <w:r w:rsidDel="00000000" w:rsidR="00000000" w:rsidRPr="00000000">
        <w:rPr>
          <w:rFonts w:ascii="Arial" w:cs="Arial" w:eastAsia="Arial" w:hAnsi="Arial"/>
          <w:color w:val="222222"/>
          <w:highlight w:val="white"/>
        </w:rPr>
        <w:drawing>
          <wp:inline distB="114300" distT="114300" distL="114300" distR="114300">
            <wp:extent cx="8086725" cy="6506527"/>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8086725" cy="6506527"/>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ectPr>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cfGakZk5zk+NN3LPZ1oFU6zkOw==">CgMxLjA4AHIhMWl6ZlZDUmpnR01wQzNVVjdwY25scEVFMFpZV001TVRW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